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16F1" w14:textId="77777777" w:rsidR="00BD4F4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关于开展“中银杯”第十二届天津青年创青春大赛的通知</w:t>
      </w:r>
    </w:p>
    <w:p w14:paraId="79E261CC" w14:textId="2A671ACD" w:rsidR="00BD4F4B" w:rsidRPr="00F30C38" w:rsidRDefault="00000000" w:rsidP="00F30C38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发布时间:2025-07-02</w:t>
      </w:r>
      <w:r w:rsidR="00F30C3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作者:共青团河北大学委员会</w:t>
      </w:r>
      <w:r w:rsidR="00F30C38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来源:大学生学术科技竞赛办公室</w:t>
      </w:r>
    </w:p>
    <w:p w14:paraId="6E75696C" w14:textId="77777777" w:rsidR="00BD4F4B" w:rsidRDefault="00000000">
      <w:pPr>
        <w:spacing w:line="560" w:lineRule="exact"/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各院系:</w:t>
      </w:r>
    </w:p>
    <w:p w14:paraId="7CE908C5" w14:textId="633C0474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为深入贯彻党的二十大和二十届二中、三中全会精神，全面贯彻落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实习近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平总书记关于青年工作的重要思想，扎实实施高质量发展“十项行动”,促进青年弘扬创业精神、培养创业意识、提升创业能力，以青年创业带动全社会高质量就业，激励广大青年为中国式现代化挺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膺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担当，我校将组织参加“中银杯”第十二届天津青年创青春大赛。现将有关事宜通知如下。</w:t>
      </w:r>
    </w:p>
    <w:p w14:paraId="66867132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一、大赛主题</w:t>
      </w:r>
    </w:p>
    <w:p w14:paraId="3BE4F9C4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青春为中国式现代化挺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膺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担当</w:t>
      </w:r>
    </w:p>
    <w:p w14:paraId="15ACD54E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二、大赛安排</w:t>
      </w:r>
    </w:p>
    <w:p w14:paraId="7BC5A59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本届大赛分为科技创新、乡村振兴、数字经济、社会企业、中医药、文化旅游六个专项赛。</w:t>
      </w:r>
    </w:p>
    <w:p w14:paraId="3DF53C1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)科技创新专项赛</w:t>
      </w:r>
    </w:p>
    <w:p w14:paraId="641DC38E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重点关注“十四五”规划明确鼓励发展的重点方向，尤其是人工智能、量子信息、集成电路、生命健康、脑科学、生物制造、空天科技、深地深海等领域具有前瞻性、战略性的项目。</w:t>
      </w:r>
    </w:p>
    <w:p w14:paraId="2747BE1B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(二)乡村振兴专项赛</w:t>
      </w:r>
    </w:p>
    <w:p w14:paraId="248C2D25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重点关注粮食增产提质、种业振兴、先进种植养殖技术、农产品加工及流通、农业社会化服务、农村电商、乡村休闲旅游等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领域相关产业，尤其是在巩固拓展脱贫攻坚成果、助力乡村振兴等方面模式成熟的项目。</w:t>
      </w:r>
    </w:p>
    <w:p w14:paraId="65CA1043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(三)数字经济专项赛</w:t>
      </w:r>
    </w:p>
    <w:p w14:paraId="39619D7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重点关注运用互联网、大数据、云计算、区块链技术、元宇宙等推动数字经济和实体经济融合、运用数字经济手段改造发展传统行业的项目。</w:t>
      </w:r>
    </w:p>
    <w:p w14:paraId="234693C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(四)社会企业专项赛</w:t>
      </w:r>
    </w:p>
    <w:p w14:paraId="5DE6EBC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以协助解决社会问题、改善社会治理、服务特定群体或社区利益为宗旨和首要目标，以创新商业模式、市场化运作为主要手段，所得部分盈利按照其社会目标再投入自身业务、所在社区或公益事业，且社会目标持续稳定的项目。</w:t>
      </w:r>
    </w:p>
    <w:p w14:paraId="1D5E438D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(五)中医药专项赛</w:t>
      </w:r>
    </w:p>
    <w:p w14:paraId="12438179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重点关注经典名方开发、智能诊疗设备、中药新药研发、道地药材培育、药食同源产品及中医药数字化应用。通过对中医药(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含民族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医药)新方案、新方法、新技术、新产品等方面的研究，推动中医药真正服务人民健康，并创造经济与社会价值。</w:t>
      </w:r>
    </w:p>
    <w:p w14:paraId="60FED0AD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(六)文化旅游专项赛</w:t>
      </w:r>
    </w:p>
    <w:p w14:paraId="7F00D150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重点关注全市文化传承与活化创新、旅游产品与服务创新、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文旅融合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驱动城市创新、数字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文旅产品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及特色资源开发等。鼓励智慧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文旅技术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应用，包括AI导游系统、AR/VR全域导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览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、元宇宙景区开发等科技融合度高的项目。参赛者在准备项目时，应清晰阐述项目的创新点、文化内涵、市场价值、社会效益、商业模式和落地计划。</w:t>
      </w:r>
    </w:p>
    <w:p w14:paraId="241E79C6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三、大赛规则</w:t>
      </w:r>
    </w:p>
    <w:p w14:paraId="626002B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(一)组别设置</w:t>
      </w:r>
    </w:p>
    <w:p w14:paraId="3BF878B5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根据参赛项目所处的创业阶段及企业创办年限(以在市场监督管理部门登记注册时间为准)不同，分别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设创新组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、初创组、成长组。创办年限划分以2025年5月31日为基准。</w:t>
      </w:r>
    </w:p>
    <w:p w14:paraId="2BDD202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创新组指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2025年5月31日(含)前未进行企业登记注册，尚处于商业计划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书阶段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的创业项目。</w:t>
      </w:r>
    </w:p>
    <w:p w14:paraId="002B5B7B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初创组指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企业登记注册时间不超过2年〔2023年6月1日(含)以后登记注册〕的创业项目。</w:t>
      </w:r>
    </w:p>
    <w:p w14:paraId="2C84ECB6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成长组指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企业登记注册时间在2至5年之间〔2020年6月1日(含)至2023年5月31日(含)期间登记注册〕的创业项目。</w:t>
      </w:r>
    </w:p>
    <w:p w14:paraId="381A09D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(二)参赛人员</w:t>
      </w:r>
    </w:p>
    <w:p w14:paraId="231A2473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1.京津冀地区企事业单位、高校、科研院所有关人员，年龄40周岁(含)以下〔1985年1月1日(含)以后出生〕的中国公民。</w:t>
      </w:r>
    </w:p>
    <w:p w14:paraId="238D9C3F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2.团队参赛项目，总人数不多于5人。</w:t>
      </w:r>
    </w:p>
    <w:p w14:paraId="261E09E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(三)参赛项目</w:t>
      </w:r>
    </w:p>
    <w:p w14:paraId="561DA53D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1.弘扬正能量，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社会主义核心价值观。</w:t>
      </w:r>
    </w:p>
    <w:p w14:paraId="04BF36DE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2.符合国家法律法规和国家产业政策。</w:t>
      </w:r>
    </w:p>
    <w:p w14:paraId="3DF4DF4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3.拥有清晰合法的知识产权，不得侵犯他人知识产权。</w:t>
      </w:r>
    </w:p>
    <w:p w14:paraId="3EB2A0B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4.具有良好的经济效益、社会效益，经营规范，社会信誉良好。</w:t>
      </w:r>
    </w:p>
    <w:p w14:paraId="7BD9ED3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5.具有较大投资价值的独特产品、技术或商业模式。</w:t>
      </w:r>
    </w:p>
    <w:p w14:paraId="67FD6556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(四)项目申报</w:t>
      </w:r>
    </w:p>
    <w:p w14:paraId="4248491E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1.已在市场监督管理部门登记注册企业的参赛项目，须提交营业执照等相关文件，项目成长过程或生产流程相关介绍，项目发展构想及阶段性成果等资料。涉及国家限制行业和领域的，须有相关资质证明。第一申报人须为所登记主体法定代表人，且持有该企业股份(个体工商户第一申报人应为经营者，个人独资企业第一申报人应为投资人，合伙企业第一申报人应为执行事务合伙人)。</w:t>
      </w:r>
    </w:p>
    <w:p w14:paraId="1BBB45A7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未在市场监督管理部门登记注册的参赛项目，须提交商业计划书，对市场调研、创业构想、项目发展等有详细介绍；可同时出具专利、奖项、技术等级等省级以上行业主管部门出具的证书或证明。第一申报人须为产品开发、项目设计主要负责人。</w:t>
      </w:r>
    </w:p>
    <w:p w14:paraId="4EE22807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四、赛程安排</w:t>
      </w:r>
    </w:p>
    <w:p w14:paraId="00720A43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)宣传报名阶段：(7月1日至7月14日)</w:t>
      </w:r>
    </w:p>
    <w:p w14:paraId="07689F8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全面启动大赛报名和宣传。采取社会化动员和组织发动形式，参赛项目须在报名时间内登录“天津创青春”网站(www.tianjincqc.com)注册报名。各级团组织和有关单位、机构要广泛组织动员创业青年参赛。</w:t>
      </w:r>
    </w:p>
    <w:p w14:paraId="324B4BD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(二)初赛(审查)阶段：(7月15日至7月18日)</w:t>
      </w:r>
    </w:p>
    <w:p w14:paraId="05517EBA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在完成参赛项目初步审核和资格确认的基础上，由评审委员会对参赛的创业项目通过线上审查的方式进行筛选，选出复赛入围项目。</w:t>
      </w:r>
    </w:p>
    <w:p w14:paraId="11E1A77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(三)复赛阶段：(7月21日至7月25日)</w:t>
      </w:r>
    </w:p>
    <w:p w14:paraId="0FEE09B6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复赛评审采取线下非公开答辩方式进行，评审按各专项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赛独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立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进行，分别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设创新组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、初创组、成长组，分别评选出若干铜奖项目，评选出优秀项目(金银争霸赛)。</w:t>
      </w:r>
    </w:p>
    <w:p w14:paraId="257830A7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(四)培训交流营：(8月4日)</w:t>
      </w:r>
    </w:p>
    <w:p w14:paraId="1BEF65DF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开展创新创业训练营，帮助参赛者掌握基本商业分析技能，进行创业知识扩展，创业项目书打磨、决赛模拟、金融对接、法律咨询等方面的培训。</w:t>
      </w:r>
    </w:p>
    <w:p w14:paraId="2E863FB8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(五)决赛(金银争霸赛)阶段：(8月11日)</w:t>
      </w:r>
    </w:p>
    <w:p w14:paraId="5BAE328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六项专项赛决赛(金银争霸赛)评审采取线下非公开答辩方式进行，评选出金奖、银奖项目。</w:t>
      </w:r>
    </w:p>
    <w:p w14:paraId="0DE5A788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(六)闭幕式阶段：(8月29日)</w:t>
      </w:r>
    </w:p>
    <w:p w14:paraId="3FE8A9E9" w14:textId="77777777" w:rsidR="00BD4F4B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进行优秀项目公开展示，总结第十二届中国青年创青春大赛天津赛区选拔赛赛事，为获奖项目和团队颁奖。</w:t>
      </w:r>
    </w:p>
    <w:p w14:paraId="428950C0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五、材料收集</w:t>
      </w:r>
    </w:p>
    <w:p w14:paraId="4FFE2325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请参赛团队于7月13日前提交材料于竞赛办邮箱：hbuxskj@126.com。备案材料命名格式为：中银杯—项目名称。</w:t>
      </w:r>
    </w:p>
    <w:p w14:paraId="7EB6F6D4" w14:textId="77777777" w:rsidR="00BD4F4B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六、联系方式</w:t>
      </w:r>
    </w:p>
    <w:p w14:paraId="47031672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校方联系人:董天行</w:t>
      </w:r>
    </w:p>
    <w:p w14:paraId="7D3A236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联系电话:15612697240</w:t>
      </w:r>
    </w:p>
    <w:p w14:paraId="344B7911" w14:textId="77777777" w:rsidR="00BD4F4B" w:rsidRDefault="00000000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大赛官方钉钉群:</w:t>
      </w:r>
      <w:r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>130895007103</w:t>
      </w:r>
    </w:p>
    <w:p w14:paraId="45638DF3" w14:textId="77777777" w:rsidR="00BD4F4B" w:rsidRDefault="00BD4F4B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14:paraId="11A0ACE9" w14:textId="77777777" w:rsidR="00BD4F4B" w:rsidRDefault="00BD4F4B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14:paraId="79399BEF" w14:textId="77777777" w:rsidR="00BD4F4B" w:rsidRDefault="00000000">
      <w:pPr>
        <w:spacing w:line="560" w:lineRule="exact"/>
        <w:jc w:val="right"/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共青团河北大学委员会</w:t>
      </w:r>
    </w:p>
    <w:p w14:paraId="287053F9" w14:textId="5A7FEF8F" w:rsidR="008D390C" w:rsidRDefault="00000000" w:rsidP="00F30C38">
      <w:pPr>
        <w:spacing w:line="560" w:lineRule="exact"/>
        <w:jc w:val="right"/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2025年7月2日</w:t>
      </w:r>
    </w:p>
    <w:p w14:paraId="1DD0516E" w14:textId="718932C1" w:rsidR="008D390C" w:rsidRPr="008D390C" w:rsidRDefault="008D390C" w:rsidP="008D390C">
      <w:pPr>
        <w:spacing w:line="560" w:lineRule="exact"/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</w:pPr>
      <w:r w:rsidRPr="008D390C">
        <w:rPr>
          <w:rFonts w:ascii="黑体" w:eastAsia="黑体" w:hAnsi="黑体" w:cs="方正小标宋简体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14:paraId="623121C7" w14:textId="675E0AC7" w:rsidR="008D390C" w:rsidRDefault="008D390C" w:rsidP="008D390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“中银杯”第十二届天津青年创青春大赛竞赛规则</w:t>
      </w:r>
    </w:p>
    <w:p w14:paraId="11E9BB31" w14:textId="77777777" w:rsidR="008D390C" w:rsidRDefault="008D390C" w:rsidP="008D390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一、大赛组织</w:t>
      </w:r>
    </w:p>
    <w:p w14:paraId="4EBF0FDB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)参赛者报名</w:t>
      </w:r>
    </w:p>
    <w:p w14:paraId="12D02239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1.参赛者须通过登录“中银杯”第十二届天津青年创青春大赛报名网站(</w:t>
      </w:r>
      <w:hyperlink r:id="rId6" w:history="1">
        <w:r>
          <w:rPr>
            <w:rFonts w:ascii="仿宋_GB2312" w:eastAsia="仿宋_GB2312" w:hAnsi="仿宋" w:hint="eastAsia"/>
            <w:color w:val="000000"/>
            <w:sz w:val="32"/>
            <w:szCs w:val="32"/>
            <w:shd w:val="clear" w:color="auto" w:fill="FFFFFF"/>
          </w:rPr>
          <w:t>www.tianjincqc.com</w:t>
        </w:r>
      </w:hyperlink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)注册报名并提交相关资料。</w:t>
      </w:r>
    </w:p>
    <w:p w14:paraId="55BD9A21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2.参赛者在报名表中所选择的“报名区”,为参赛者公司注册地或推荐报名大赛的团组织所在区。</w:t>
      </w:r>
    </w:p>
    <w:p w14:paraId="65CED162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(二)评审委员会的产生</w:t>
      </w:r>
    </w:p>
    <w:p w14:paraId="4A437DEF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1.评审委员会由投资人、专家学者、创业导师组成。</w:t>
      </w:r>
    </w:p>
    <w:p w14:paraId="1A4311CB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2.投资人由大赛组织方定向邀请及各合作机构推荐。</w:t>
      </w:r>
    </w:p>
    <w:p w14:paraId="1A0E55AA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3.专家学者由大赛组织方定向邀请。</w:t>
      </w:r>
    </w:p>
    <w:p w14:paraId="32F92816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4.创业导师由各合作创业服务机构和各区团组织推荐，须经大赛组织方审核确认。</w:t>
      </w:r>
    </w:p>
    <w:p w14:paraId="1B8398DB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(三)大赛评委的产生</w:t>
      </w:r>
    </w:p>
    <w:p w14:paraId="228BBA44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每场比赛评委人数须为单数。从投资人、专家学者、创业导师中产生。</w:t>
      </w:r>
    </w:p>
    <w:p w14:paraId="657578B9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(四)大赛组织</w:t>
      </w:r>
    </w:p>
    <w:p w14:paraId="66A54FFC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1.大赛分为初赛(审查)、复赛、决赛(金银争霸赛)三个环节。</w:t>
      </w:r>
    </w:p>
    <w:p w14:paraId="6EFA5D45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2.按照大赛组织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方分配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名额、评审分数排名晋级，根据全国大赛组委会分配名额，选拔相应数量的项目参加国赛。</w:t>
      </w:r>
    </w:p>
    <w:p w14:paraId="15D92165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3.比赛结果将在大赛结束后公布，由大赛组织方负责最终解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释。</w:t>
      </w:r>
    </w:p>
    <w:p w14:paraId="45E2E6F3" w14:textId="77777777" w:rsidR="008D390C" w:rsidRDefault="008D390C" w:rsidP="008D390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二、评审标准</w:t>
      </w:r>
    </w:p>
    <w:p w14:paraId="2CC2C827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创新组评分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表</w:t>
      </w:r>
    </w:p>
    <w:p w14:paraId="47854BC5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851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4720"/>
        <w:gridCol w:w="1287"/>
      </w:tblGrid>
      <w:tr w:rsidR="008D390C" w14:paraId="3149C039" w14:textId="77777777" w:rsidTr="00155664">
        <w:trPr>
          <w:trHeight w:val="1248"/>
        </w:trPr>
        <w:tc>
          <w:tcPr>
            <w:tcW w:w="2512" w:type="dxa"/>
            <w:vAlign w:val="center"/>
          </w:tcPr>
          <w:p w14:paraId="5FB8A8F8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评分项目</w:t>
            </w:r>
          </w:p>
        </w:tc>
        <w:tc>
          <w:tcPr>
            <w:tcW w:w="4720" w:type="dxa"/>
            <w:vAlign w:val="center"/>
          </w:tcPr>
          <w:p w14:paraId="4A371B38" w14:textId="77777777" w:rsidR="008D390C" w:rsidRDefault="008D390C" w:rsidP="0015566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主要考察指标</w:t>
            </w:r>
          </w:p>
        </w:tc>
        <w:tc>
          <w:tcPr>
            <w:tcW w:w="1287" w:type="dxa"/>
            <w:vAlign w:val="center"/>
          </w:tcPr>
          <w:p w14:paraId="3F1C071D" w14:textId="77777777" w:rsidR="008D390C" w:rsidRDefault="008D390C" w:rsidP="00155664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评分比重</w:t>
            </w:r>
          </w:p>
        </w:tc>
      </w:tr>
      <w:tr w:rsidR="008D390C" w14:paraId="609C61F7" w14:textId="77777777" w:rsidTr="00155664">
        <w:trPr>
          <w:trHeight w:val="2422"/>
        </w:trPr>
        <w:tc>
          <w:tcPr>
            <w:tcW w:w="2512" w:type="dxa"/>
            <w:vAlign w:val="center"/>
          </w:tcPr>
          <w:p w14:paraId="756018A1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产品(服务)</w:t>
            </w:r>
          </w:p>
        </w:tc>
        <w:tc>
          <w:tcPr>
            <w:tcW w:w="4720" w:type="dxa"/>
            <w:vAlign w:val="center"/>
          </w:tcPr>
          <w:p w14:paraId="029DD519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此项主要考察：原创设计、视角独特、主题鲜明、商业价值、社会需求、技术含量、发展态势预测。</w:t>
            </w:r>
          </w:p>
        </w:tc>
        <w:tc>
          <w:tcPr>
            <w:tcW w:w="1287" w:type="dxa"/>
            <w:vAlign w:val="center"/>
          </w:tcPr>
          <w:p w14:paraId="7C04D640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25%</w:t>
            </w:r>
          </w:p>
        </w:tc>
      </w:tr>
      <w:tr w:rsidR="008D390C" w14:paraId="7994BB79" w14:textId="77777777" w:rsidTr="00155664">
        <w:trPr>
          <w:trHeight w:val="1820"/>
        </w:trPr>
        <w:tc>
          <w:tcPr>
            <w:tcW w:w="2512" w:type="dxa"/>
            <w:vAlign w:val="center"/>
          </w:tcPr>
          <w:p w14:paraId="6A67364A" w14:textId="77777777" w:rsidR="008D390C" w:rsidRDefault="008D390C" w:rsidP="00155664">
            <w:pPr>
              <w:spacing w:line="560" w:lineRule="exact"/>
              <w:ind w:firstLineChars="300" w:firstLine="96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团队</w:t>
            </w:r>
          </w:p>
        </w:tc>
        <w:tc>
          <w:tcPr>
            <w:tcW w:w="4720" w:type="dxa"/>
            <w:vAlign w:val="center"/>
          </w:tcPr>
          <w:p w14:paraId="149AB4DD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此项主要考察：创始团队完整性、互补性、资历背景及资源整合能力。</w:t>
            </w:r>
          </w:p>
        </w:tc>
        <w:tc>
          <w:tcPr>
            <w:tcW w:w="1287" w:type="dxa"/>
            <w:vAlign w:val="center"/>
          </w:tcPr>
          <w:p w14:paraId="0E193F0E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30%</w:t>
            </w:r>
          </w:p>
        </w:tc>
      </w:tr>
      <w:tr w:rsidR="008D390C" w14:paraId="7B86C0D1" w14:textId="77777777" w:rsidTr="00155664">
        <w:trPr>
          <w:trHeight w:val="1248"/>
        </w:trPr>
        <w:tc>
          <w:tcPr>
            <w:tcW w:w="2512" w:type="dxa"/>
            <w:vAlign w:val="center"/>
          </w:tcPr>
          <w:p w14:paraId="59E9046C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商业模式</w:t>
            </w:r>
          </w:p>
        </w:tc>
        <w:tc>
          <w:tcPr>
            <w:tcW w:w="4720" w:type="dxa"/>
            <w:vAlign w:val="center"/>
          </w:tcPr>
          <w:p w14:paraId="5B5B79A0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此项主要考察：商业模式设计合理性及可行性o</w:t>
            </w:r>
          </w:p>
        </w:tc>
        <w:tc>
          <w:tcPr>
            <w:tcW w:w="1287" w:type="dxa"/>
            <w:vAlign w:val="center"/>
          </w:tcPr>
          <w:p w14:paraId="5F55D986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15%</w:t>
            </w:r>
          </w:p>
        </w:tc>
      </w:tr>
      <w:tr w:rsidR="008D390C" w14:paraId="4B15DBA6" w14:textId="77777777" w:rsidTr="00155664">
        <w:trPr>
          <w:trHeight w:val="2422"/>
        </w:trPr>
        <w:tc>
          <w:tcPr>
            <w:tcW w:w="2512" w:type="dxa"/>
            <w:vAlign w:val="center"/>
          </w:tcPr>
          <w:p w14:paraId="7BA01BA4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市场及竞争力</w:t>
            </w:r>
          </w:p>
        </w:tc>
        <w:tc>
          <w:tcPr>
            <w:tcW w:w="4720" w:type="dxa"/>
            <w:vAlign w:val="center"/>
          </w:tcPr>
          <w:p w14:paraId="48515D63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此项主要考察：市场前景乐观、适于自主创业、市场描述、市场变化趋势及潜力、目标市场及客户定位、市场调查分析。</w:t>
            </w:r>
          </w:p>
        </w:tc>
        <w:tc>
          <w:tcPr>
            <w:tcW w:w="1287" w:type="dxa"/>
            <w:vAlign w:val="center"/>
          </w:tcPr>
          <w:p w14:paraId="74786DB6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15%</w:t>
            </w:r>
          </w:p>
        </w:tc>
      </w:tr>
      <w:tr w:rsidR="008D390C" w14:paraId="3F1905F8" w14:textId="77777777" w:rsidTr="00155664">
        <w:trPr>
          <w:trHeight w:val="2422"/>
        </w:trPr>
        <w:tc>
          <w:tcPr>
            <w:tcW w:w="2512" w:type="dxa"/>
            <w:vAlign w:val="center"/>
          </w:tcPr>
          <w:p w14:paraId="209844F3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计划书</w:t>
            </w:r>
          </w:p>
        </w:tc>
        <w:tc>
          <w:tcPr>
            <w:tcW w:w="4720" w:type="dxa"/>
            <w:vAlign w:val="center"/>
          </w:tcPr>
          <w:p w14:paraId="0C99E95C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此项主要考察：简明扼要、描述准确、突出项目重点、材料详实、文字表达清楚、选题与创意紧密结合、新颖独特。</w:t>
            </w:r>
          </w:p>
        </w:tc>
        <w:tc>
          <w:tcPr>
            <w:tcW w:w="1287" w:type="dxa"/>
            <w:vAlign w:val="center"/>
          </w:tcPr>
          <w:p w14:paraId="079A220D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10%</w:t>
            </w:r>
          </w:p>
        </w:tc>
      </w:tr>
      <w:tr w:rsidR="008D390C" w14:paraId="1912C4C0" w14:textId="77777777" w:rsidTr="00155664">
        <w:trPr>
          <w:trHeight w:val="1235"/>
        </w:trPr>
        <w:tc>
          <w:tcPr>
            <w:tcW w:w="2512" w:type="dxa"/>
            <w:vAlign w:val="center"/>
          </w:tcPr>
          <w:p w14:paraId="3E06CC3E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  <w:tc>
          <w:tcPr>
            <w:tcW w:w="4720" w:type="dxa"/>
            <w:vAlign w:val="center"/>
          </w:tcPr>
          <w:p w14:paraId="25D63580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此项主要考察：社会效益、带动就业能力。</w:t>
            </w:r>
          </w:p>
        </w:tc>
        <w:tc>
          <w:tcPr>
            <w:tcW w:w="1287" w:type="dxa"/>
            <w:vAlign w:val="center"/>
          </w:tcPr>
          <w:p w14:paraId="25CF3436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5%</w:t>
            </w:r>
          </w:p>
        </w:tc>
      </w:tr>
    </w:tbl>
    <w:p w14:paraId="0012B805" w14:textId="77777777" w:rsidR="008D390C" w:rsidRDefault="008D390C" w:rsidP="008D390C">
      <w:pPr>
        <w:spacing w:line="269" w:lineRule="auto"/>
      </w:pPr>
    </w:p>
    <w:p w14:paraId="692A491E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</w:p>
    <w:p w14:paraId="1643F1AC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(二)初创组、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成长组评分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表</w:t>
      </w:r>
    </w:p>
    <w:p w14:paraId="479B1891" w14:textId="77777777" w:rsidR="008D390C" w:rsidRDefault="008D390C" w:rsidP="008D390C">
      <w:pPr>
        <w:spacing w:line="49" w:lineRule="auto"/>
        <w:rPr>
          <w:sz w:val="2"/>
        </w:rPr>
      </w:pPr>
    </w:p>
    <w:tbl>
      <w:tblPr>
        <w:tblStyle w:val="TableNormal"/>
        <w:tblW w:w="849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4633"/>
        <w:gridCol w:w="1298"/>
      </w:tblGrid>
      <w:tr w:rsidR="008D390C" w14:paraId="7517AB3F" w14:textId="77777777" w:rsidTr="00155664">
        <w:trPr>
          <w:trHeight w:val="1111"/>
          <w:jc w:val="center"/>
        </w:trPr>
        <w:tc>
          <w:tcPr>
            <w:tcW w:w="2568" w:type="dxa"/>
            <w:vAlign w:val="center"/>
          </w:tcPr>
          <w:p w14:paraId="240A5EA6" w14:textId="77777777" w:rsidR="008D390C" w:rsidRDefault="008D390C" w:rsidP="00155664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评分项目</w:t>
            </w:r>
          </w:p>
        </w:tc>
        <w:tc>
          <w:tcPr>
            <w:tcW w:w="4633" w:type="dxa"/>
            <w:vAlign w:val="center"/>
          </w:tcPr>
          <w:p w14:paraId="3CDDD654" w14:textId="77777777" w:rsidR="008D390C" w:rsidRDefault="008D390C" w:rsidP="0015566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主要考察指标</w:t>
            </w:r>
          </w:p>
        </w:tc>
        <w:tc>
          <w:tcPr>
            <w:tcW w:w="1298" w:type="dxa"/>
            <w:vAlign w:val="center"/>
          </w:tcPr>
          <w:p w14:paraId="25742E0F" w14:textId="77777777" w:rsidR="008D390C" w:rsidRDefault="008D390C" w:rsidP="00155664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评分比重</w:t>
            </w:r>
          </w:p>
        </w:tc>
      </w:tr>
      <w:tr w:rsidR="008D390C" w14:paraId="457D1184" w14:textId="77777777" w:rsidTr="00155664">
        <w:trPr>
          <w:trHeight w:val="2217"/>
          <w:jc w:val="center"/>
        </w:trPr>
        <w:tc>
          <w:tcPr>
            <w:tcW w:w="2568" w:type="dxa"/>
            <w:vAlign w:val="center"/>
          </w:tcPr>
          <w:p w14:paraId="281179C3" w14:textId="77777777" w:rsidR="008D390C" w:rsidRDefault="008D390C" w:rsidP="00155664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产品服务</w:t>
            </w:r>
          </w:p>
        </w:tc>
        <w:tc>
          <w:tcPr>
            <w:tcW w:w="4633" w:type="dxa"/>
            <w:vAlign w:val="center"/>
          </w:tcPr>
          <w:p w14:paraId="4178FAA4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项目定位、产品功能、目标用户、商业模式等准确性、可行性、创新性。</w:t>
            </w:r>
          </w:p>
        </w:tc>
        <w:tc>
          <w:tcPr>
            <w:tcW w:w="1298" w:type="dxa"/>
            <w:vAlign w:val="center"/>
          </w:tcPr>
          <w:p w14:paraId="59344662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30%</w:t>
            </w:r>
          </w:p>
        </w:tc>
      </w:tr>
      <w:tr w:rsidR="008D390C" w14:paraId="642D8D5C" w14:textId="77777777" w:rsidTr="00155664">
        <w:trPr>
          <w:trHeight w:val="2217"/>
          <w:jc w:val="center"/>
        </w:trPr>
        <w:tc>
          <w:tcPr>
            <w:tcW w:w="2568" w:type="dxa"/>
            <w:vAlign w:val="center"/>
          </w:tcPr>
          <w:p w14:paraId="6A15CEB7" w14:textId="77777777" w:rsidR="008D390C" w:rsidRDefault="008D390C" w:rsidP="00155664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市场前景</w:t>
            </w:r>
          </w:p>
        </w:tc>
        <w:tc>
          <w:tcPr>
            <w:tcW w:w="4633" w:type="dxa"/>
            <w:vAlign w:val="center"/>
          </w:tcPr>
          <w:p w14:paraId="61A8338C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产业背景、市场需求、竞争策略、发展前景等前瞻性、成长性、发展性。</w:t>
            </w:r>
          </w:p>
        </w:tc>
        <w:tc>
          <w:tcPr>
            <w:tcW w:w="1298" w:type="dxa"/>
            <w:vAlign w:val="center"/>
          </w:tcPr>
          <w:p w14:paraId="0CCE5F60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20%</w:t>
            </w:r>
          </w:p>
        </w:tc>
      </w:tr>
      <w:tr w:rsidR="008D390C" w14:paraId="65FB1C22" w14:textId="77777777" w:rsidTr="00155664">
        <w:trPr>
          <w:trHeight w:val="2217"/>
          <w:jc w:val="center"/>
        </w:trPr>
        <w:tc>
          <w:tcPr>
            <w:tcW w:w="2568" w:type="dxa"/>
            <w:vAlign w:val="center"/>
          </w:tcPr>
          <w:p w14:paraId="4294F80F" w14:textId="77777777" w:rsidR="008D390C" w:rsidRDefault="008D390C" w:rsidP="00155664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财务运营</w:t>
            </w:r>
          </w:p>
        </w:tc>
        <w:tc>
          <w:tcPr>
            <w:tcW w:w="4633" w:type="dxa"/>
            <w:vAlign w:val="center"/>
          </w:tcPr>
          <w:p w14:paraId="67FD3808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融资情况、盈利模式、财务管理、风险规避等稳定性、合理性、持续性。</w:t>
            </w:r>
          </w:p>
        </w:tc>
        <w:tc>
          <w:tcPr>
            <w:tcW w:w="1298" w:type="dxa"/>
            <w:vAlign w:val="center"/>
          </w:tcPr>
          <w:p w14:paraId="785B69EA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20%</w:t>
            </w:r>
          </w:p>
        </w:tc>
      </w:tr>
      <w:tr w:rsidR="008D390C" w14:paraId="499E6494" w14:textId="77777777" w:rsidTr="00155664">
        <w:trPr>
          <w:trHeight w:val="2217"/>
          <w:jc w:val="center"/>
        </w:trPr>
        <w:tc>
          <w:tcPr>
            <w:tcW w:w="2568" w:type="dxa"/>
            <w:vAlign w:val="center"/>
          </w:tcPr>
          <w:p w14:paraId="6D73345E" w14:textId="77777777" w:rsidR="008D390C" w:rsidRDefault="008D390C" w:rsidP="0015566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团队素质</w:t>
            </w:r>
          </w:p>
        </w:tc>
        <w:tc>
          <w:tcPr>
            <w:tcW w:w="4633" w:type="dxa"/>
            <w:vAlign w:val="center"/>
          </w:tcPr>
          <w:p w14:paraId="77ACE930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人员构成、资历背景、能力素质、团队合作</w:t>
            </w:r>
          </w:p>
          <w:p w14:paraId="3F7ADE22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等完整性、互补性、协同性。</w:t>
            </w:r>
          </w:p>
        </w:tc>
        <w:tc>
          <w:tcPr>
            <w:tcW w:w="1298" w:type="dxa"/>
            <w:vAlign w:val="center"/>
          </w:tcPr>
          <w:p w14:paraId="67A89664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20%</w:t>
            </w:r>
          </w:p>
        </w:tc>
      </w:tr>
      <w:tr w:rsidR="008D390C" w14:paraId="3CEC909D" w14:textId="77777777" w:rsidTr="00155664">
        <w:trPr>
          <w:trHeight w:val="1669"/>
          <w:jc w:val="center"/>
        </w:trPr>
        <w:tc>
          <w:tcPr>
            <w:tcW w:w="2568" w:type="dxa"/>
            <w:vAlign w:val="center"/>
          </w:tcPr>
          <w:p w14:paraId="5C854AF8" w14:textId="77777777" w:rsidR="008D390C" w:rsidRDefault="008D390C" w:rsidP="00155664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社会效益</w:t>
            </w:r>
          </w:p>
        </w:tc>
        <w:tc>
          <w:tcPr>
            <w:tcW w:w="4633" w:type="dxa"/>
            <w:vAlign w:val="center"/>
          </w:tcPr>
          <w:p w14:paraId="0099F7B2" w14:textId="77777777" w:rsidR="008D390C" w:rsidRDefault="008D390C" w:rsidP="00155664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创业带动就业、服务群众脱贫致富、支持社会公益等，针对性、公益性、导向性。</w:t>
            </w:r>
          </w:p>
        </w:tc>
        <w:tc>
          <w:tcPr>
            <w:tcW w:w="1298" w:type="dxa"/>
            <w:vAlign w:val="center"/>
          </w:tcPr>
          <w:p w14:paraId="2DC014D9" w14:textId="77777777" w:rsidR="008D390C" w:rsidRDefault="008D390C" w:rsidP="00155664">
            <w:pPr>
              <w:spacing w:line="560" w:lineRule="exact"/>
              <w:ind w:firstLineChars="100" w:firstLine="320"/>
              <w:rPr>
                <w:rFonts w:ascii="仿宋_GB2312" w:eastAsia="仿宋_GB2312" w:hAnsi="仿宋" w:hint="eastAsia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shd w:val="clear" w:color="auto" w:fill="FFFFFF"/>
              </w:rPr>
              <w:t>10%</w:t>
            </w:r>
          </w:p>
        </w:tc>
      </w:tr>
    </w:tbl>
    <w:p w14:paraId="5A74BCD3" w14:textId="77777777" w:rsidR="008D390C" w:rsidRDefault="008D390C" w:rsidP="008D390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三、注意事项</w:t>
      </w:r>
    </w:p>
    <w:p w14:paraId="4B7CCE75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)比赛期间，遵守比赛秩序，服从大赛组织方的安排，严格按照分组参加比赛。</w:t>
      </w:r>
    </w:p>
    <w:p w14:paraId="0E093640" w14:textId="77777777" w:rsid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(二)参赛企业、团队提交的参赛材料须真实完整、合法有效，无虚假和侵犯第三方权益的内容；各区团组织应按照通知要求，对参赛项目和参赛人员进行严格把关。</w:t>
      </w:r>
    </w:p>
    <w:p w14:paraId="23DBD82B" w14:textId="77F40483" w:rsidR="00BD4F4B" w:rsidRPr="008D390C" w:rsidRDefault="008D390C" w:rsidP="008D390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(三)参赛企业、团队可将产品进行演示，以取得最佳参赛效果。</w:t>
      </w:r>
    </w:p>
    <w:sectPr w:rsidR="00BD4F4B" w:rsidRPr="008D390C">
      <w:pgSz w:w="11906" w:h="16838"/>
      <w:pgMar w:top="2098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6D5E" w14:textId="77777777" w:rsidR="00312B41" w:rsidRDefault="00312B41" w:rsidP="008D390C">
      <w:r>
        <w:separator/>
      </w:r>
    </w:p>
  </w:endnote>
  <w:endnote w:type="continuationSeparator" w:id="0">
    <w:p w14:paraId="566D4BE0" w14:textId="77777777" w:rsidR="00312B41" w:rsidRDefault="00312B41" w:rsidP="008D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8D6C" w14:textId="77777777" w:rsidR="00312B41" w:rsidRDefault="00312B41" w:rsidP="008D390C">
      <w:r>
        <w:separator/>
      </w:r>
    </w:p>
  </w:footnote>
  <w:footnote w:type="continuationSeparator" w:id="0">
    <w:p w14:paraId="5DD204F6" w14:textId="77777777" w:rsidR="00312B41" w:rsidRDefault="00312B41" w:rsidP="008D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B7585D"/>
    <w:rsid w:val="00107380"/>
    <w:rsid w:val="00312B41"/>
    <w:rsid w:val="00712135"/>
    <w:rsid w:val="008D390C"/>
    <w:rsid w:val="00BD4F4B"/>
    <w:rsid w:val="00F30C38"/>
    <w:rsid w:val="0C165E80"/>
    <w:rsid w:val="62221E02"/>
    <w:rsid w:val="6D73789E"/>
    <w:rsid w:val="73687321"/>
    <w:rsid w:val="73B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37856"/>
  <w15:docId w15:val="{1D0340A5-D02B-452D-9331-6C66DC0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4"/>
      <w:szCs w:val="4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8D39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8D390C"/>
    <w:pPr>
      <w:ind w:leftChars="2500" w:left="100"/>
    </w:pPr>
  </w:style>
  <w:style w:type="character" w:customStyle="1" w:styleId="aa">
    <w:name w:val="日期 字符"/>
    <w:basedOn w:val="a0"/>
    <w:link w:val="a9"/>
    <w:rsid w:val="008D390C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8D390C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anjincq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继矢吨固芽</dc:creator>
  <cp:lastModifiedBy>guo xingya</cp:lastModifiedBy>
  <cp:revision>3</cp:revision>
  <dcterms:created xsi:type="dcterms:W3CDTF">2025-07-01T05:33:00Z</dcterms:created>
  <dcterms:modified xsi:type="dcterms:W3CDTF">2025-07-11T06:58:00Z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4F8B0344792644B0A2DB03F9B09DEC43_13</vt:lpwstr>
  </property>
  <property fmtid="{D5CDD505-2E9C-101B-9397-08002B2CF9AE}" pid="4" name="KSOTemplateDocerSaveRecord">
    <vt:lpwstr>eyJoZGlkIjoiOGQxNmUwNGI4M2FhN2NlZTFjNTk3ZTMzMTY5ZTNkOWMiLCJ1c2VySWQiOiI5NzU1NDI0OTIifQ==</vt:lpwstr>
  </property>
</Properties>
</file>